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307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3071495"/>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91"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1">
        <w:r>
          <w:rPr>
            <w:rFonts w:ascii="Times New Roman" w:cs="Times New Roman" w:eastAsia="Times New Roman" w:hAnsi="Times New Roman"/>
            <w:sz w:val="17"/>
            <w:szCs w:val="17"/>
            <w:u w:val="single" w:color="auto"/>
            <w:color w:val="0000EE"/>
          </w:rPr>
          <w:t>Daniel Willis Johnathan</w:t>
        </w:r>
      </w:hyperlink>
    </w:p>
    <w:p>
      <w:pPr>
        <w:spacing w:after="0" w:line="232"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10"/>
          <w:szCs w:val="10"/>
          <w:color w:val="auto"/>
        </w:rPr>
        <w:t>(Middle)</w:t>
      </w:r>
    </w:p>
    <w:p>
      <w:pPr>
        <w:spacing w:after="0" w:line="62" w:lineRule="exact"/>
        <w:rPr>
          <w:sz w:val="24"/>
          <w:szCs w:val="24"/>
          <w:color w:val="auto"/>
        </w:rPr>
      </w:pPr>
    </w:p>
    <w:p>
      <w:pPr>
        <w:ind w:left="100"/>
        <w:spacing w:after="0" w:line="372" w:lineRule="auto"/>
        <w:rPr>
          <w:sz w:val="20"/>
          <w:szCs w:val="20"/>
          <w:color w:val="auto"/>
        </w:rPr>
      </w:pPr>
      <w:r>
        <w:rPr>
          <w:rFonts w:ascii="Times New Roman" w:cs="Times New Roman" w:eastAsia="Times New Roman" w:hAnsi="Times New Roman"/>
          <w:sz w:val="13"/>
          <w:szCs w:val="13"/>
          <w:color w:val="0000FF"/>
        </w:rPr>
        <w:t>C/O THE BALDWIN INSURANCE GROUP, INC. 4211 W. BOY SCOUT BLVD., SUITE 800</w:t>
      </w:r>
    </w:p>
    <w:p>
      <w:pPr>
        <w:spacing w:after="0" w:line="1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31" w:lineRule="exact"/>
        <w:rPr>
          <w:sz w:val="24"/>
          <w:szCs w:val="24"/>
          <w:color w:val="auto"/>
        </w:rPr>
      </w:pPr>
    </w:p>
    <w:p>
      <w:pPr>
        <w:ind w:left="100"/>
        <w:spacing w:after="0"/>
        <w:tabs>
          <w:tab w:leader="none" w:pos="1140" w:val="left"/>
          <w:tab w:leader="none" w:pos="2180" w:val="left"/>
        </w:tabs>
        <w:rPr>
          <w:sz w:val="20"/>
          <w:szCs w:val="20"/>
          <w:color w:val="auto"/>
        </w:rPr>
      </w:pPr>
      <w:r>
        <w:rPr>
          <w:rFonts w:ascii="Times New Roman" w:cs="Times New Roman" w:eastAsia="Times New Roman" w:hAnsi="Times New Roman"/>
          <w:sz w:val="13"/>
          <w:szCs w:val="13"/>
          <w:color w:val="0000FF"/>
        </w:rPr>
        <w:t>TAMPA</w:t>
      </w:r>
      <w:r>
        <w:rPr>
          <w:sz w:val="20"/>
          <w:szCs w:val="20"/>
          <w:color w:val="auto"/>
        </w:rPr>
        <w:tab/>
      </w:r>
      <w:r>
        <w:rPr>
          <w:rFonts w:ascii="Times New Roman" w:cs="Times New Roman" w:eastAsia="Times New Roman" w:hAnsi="Times New Roman"/>
          <w:sz w:val="13"/>
          <w:szCs w:val="13"/>
          <w:color w:val="0000FF"/>
        </w:rPr>
        <w:t>FL</w:t>
      </w:r>
      <w:r>
        <w:rPr>
          <w:sz w:val="20"/>
          <w:szCs w:val="20"/>
          <w:color w:val="auto"/>
        </w:rPr>
        <w:tab/>
      </w:r>
      <w:r>
        <w:rPr>
          <w:rFonts w:ascii="Times New Roman" w:cs="Times New Roman" w:eastAsia="Times New Roman" w:hAnsi="Times New Roman"/>
          <w:sz w:val="13"/>
          <w:szCs w:val="13"/>
          <w:color w:val="0000FF"/>
        </w:rPr>
        <w:t>33607</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253" w:lineRule="auto"/>
        <w:tabs>
          <w:tab w:leader="none" w:pos="115" w:val="left"/>
        </w:tabs>
        <w:numPr>
          <w:ilvl w:val="0"/>
          <w:numId w:val="1"/>
        </w:numPr>
        <w:rPr>
          <w:rFonts w:ascii="Arial" w:cs="Arial" w:eastAsia="Arial" w:hAnsi="Arial"/>
          <w:sz w:val="10"/>
          <w:szCs w:val="10"/>
          <w:color w:val="auto"/>
        </w:rPr>
      </w:pPr>
      <w:r>
        <w:rPr>
          <w:rFonts w:ascii="Arial" w:cs="Arial" w:eastAsia="Arial" w:hAnsi="Arial"/>
          <w:sz w:val="10"/>
          <w:szCs w:val="10"/>
          <w:color w:val="auto"/>
        </w:rPr>
        <w:t>Date of Event Requiring Statement (Month/Day/Year)</w:t>
      </w:r>
    </w:p>
    <w:p>
      <w:pPr>
        <w:spacing w:after="0"/>
        <w:rPr>
          <w:sz w:val="20"/>
          <w:szCs w:val="20"/>
          <w:color w:val="auto"/>
        </w:rPr>
      </w:pPr>
      <w:r>
        <w:rPr>
          <w:rFonts w:ascii="Times New Roman" w:cs="Times New Roman" w:eastAsia="Times New Roman" w:hAnsi="Times New Roman"/>
          <w:sz w:val="13"/>
          <w:szCs w:val="13"/>
          <w:color w:val="0000FF"/>
        </w:rPr>
        <w:t>06/11/2026</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2">
        <w:r>
          <w:rPr>
            <w:rFonts w:ascii="Times New Roman" w:cs="Times New Roman" w:eastAsia="Times New Roman" w:hAnsi="Times New Roman"/>
            <w:sz w:val="17"/>
            <w:szCs w:val="17"/>
            <w:u w:val="single" w:color="auto"/>
            <w:color w:val="0000EE"/>
          </w:rPr>
          <w:t>Baldwin Insurance Group, Inc.</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BWIN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60" w:type="dxa"/>
            <w:vAlign w:val="bottom"/>
            <w:gridSpan w:val="2"/>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6"/>
        </w:trPr>
        <w:tc>
          <w:tcPr>
            <w:tcW w:w="2040" w:type="dxa"/>
            <w:vAlign w:val="bottom"/>
          </w:tcPr>
          <w:p>
            <w:pPr>
              <w:spacing w:after="0"/>
              <w:rPr>
                <w:sz w:val="20"/>
                <w:szCs w:val="20"/>
                <w:color w:val="auto"/>
              </w:rPr>
            </w:pPr>
            <w:r>
              <w:rPr>
                <w:rFonts w:ascii="Arial" w:cs="Arial" w:eastAsia="Arial" w:hAnsi="Arial"/>
                <w:sz w:val="10"/>
                <w:szCs w:val="10"/>
                <w:color w:val="auto"/>
              </w:rPr>
              <w:t>(Check all applicable)</w:t>
            </w: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40" w:type="dxa"/>
            <w:vAlign w:val="bottom"/>
          </w:tcPr>
          <w:p>
            <w:pPr>
              <w:ind w:left="520"/>
              <w:spacing w:after="0" w:line="93" w:lineRule="exact"/>
              <w:rPr>
                <w:sz w:val="20"/>
                <w:szCs w:val="20"/>
                <w:color w:val="auto"/>
              </w:rPr>
            </w:pPr>
            <w:r>
              <w:rPr>
                <w:rFonts w:ascii="Arial" w:cs="Arial" w:eastAsia="Arial" w:hAnsi="Arial"/>
                <w:sz w:val="10"/>
                <w:szCs w:val="10"/>
                <w:color w:val="auto"/>
              </w:rPr>
              <w:t>Director</w:t>
            </w:r>
          </w:p>
        </w:tc>
        <w:tc>
          <w:tcPr>
            <w:tcW w:w="1220" w:type="dxa"/>
            <w:vAlign w:val="bottom"/>
          </w:tcPr>
          <w:p>
            <w:pPr>
              <w:ind w:left="80"/>
              <w:spacing w:after="0" w:line="93" w:lineRule="exact"/>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40" w:type="dxa"/>
            <w:vAlign w:val="bottom"/>
          </w:tcPr>
          <w:p>
            <w:pPr>
              <w:ind w:left="520"/>
              <w:spacing w:after="0"/>
              <w:rPr>
                <w:sz w:val="20"/>
                <w:szCs w:val="20"/>
                <w:color w:val="auto"/>
              </w:rPr>
            </w:pPr>
            <w:r>
              <w:rPr>
                <w:rFonts w:ascii="Arial" w:cs="Arial" w:eastAsia="Arial" w:hAnsi="Arial"/>
                <w:sz w:val="10"/>
                <w:szCs w:val="10"/>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0"/>
                <w:szCs w:val="10"/>
                <w:color w:val="auto"/>
              </w:rPr>
              <w:t>Other (specify below)</w:t>
            </w:r>
          </w:p>
        </w:tc>
        <w:tc>
          <w:tcPr>
            <w:tcW w:w="140" w:type="dxa"/>
            <w:vAlign w:val="bottom"/>
          </w:tcPr>
          <w:p>
            <w:pPr>
              <w:jc w:val="right"/>
              <w:spacing w:after="0"/>
              <w:rPr>
                <w:sz w:val="20"/>
                <w:szCs w:val="20"/>
                <w:color w:val="auto"/>
              </w:rPr>
            </w:pPr>
            <w:r>
              <w:rPr>
                <w:rFonts w:ascii="Arial" w:cs="Arial" w:eastAsia="Arial" w:hAnsi="Arial"/>
                <w:sz w:val="10"/>
                <w:szCs w:val="10"/>
                <w:color w:val="auto"/>
              </w:rPr>
              <w:t>6.</w:t>
            </w:r>
          </w:p>
        </w:tc>
        <w:tc>
          <w:tcPr>
            <w:tcW w:w="2600" w:type="dxa"/>
            <w:vAlign w:val="bottom"/>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74"/>
        </w:trPr>
        <w:tc>
          <w:tcPr>
            <w:tcW w:w="2040" w:type="dxa"/>
            <w:vAlign w:val="bottom"/>
            <w:vMerge w:val="restart"/>
          </w:tcPr>
          <w:p>
            <w:pPr>
              <w:ind w:left="520"/>
              <w:spacing w:after="0"/>
              <w:rPr>
                <w:sz w:val="20"/>
                <w:szCs w:val="20"/>
                <w:color w:val="auto"/>
              </w:rPr>
            </w:pPr>
            <w:r>
              <w:rPr>
                <w:rFonts w:ascii="Arial" w:cs="Arial" w:eastAsia="Arial" w:hAnsi="Arial"/>
                <w:sz w:val="10"/>
                <w:szCs w:val="10"/>
                <w:color w:val="auto"/>
              </w:rPr>
              <w:t>below)</w:t>
            </w:r>
          </w:p>
        </w:tc>
        <w:tc>
          <w:tcPr>
            <w:tcW w:w="12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0" w:type="dxa"/>
            <w:vAlign w:val="bottom"/>
            <w:vMerge w:val="restart"/>
          </w:tcPr>
          <w:p>
            <w:pPr>
              <w:ind w:left="34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62"/>
        </w:trPr>
        <w:tc>
          <w:tcPr>
            <w:tcW w:w="204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40" w:type="dxa"/>
            <w:vAlign w:val="bottom"/>
            <w:vMerge w:val="restart"/>
          </w:tcPr>
          <w:p>
            <w:pPr>
              <w:ind w:left="1240"/>
              <w:spacing w:after="0"/>
              <w:rPr>
                <w:sz w:val="20"/>
                <w:szCs w:val="20"/>
                <w:color w:val="auto"/>
              </w:rPr>
            </w:pPr>
            <w:r>
              <w:rPr>
                <w:rFonts w:ascii="Times New Roman" w:cs="Times New Roman" w:eastAsia="Times New Roman" w:hAnsi="Times New Roman"/>
                <w:sz w:val="13"/>
                <w:szCs w:val="13"/>
                <w:color w:val="0000FF"/>
              </w:rPr>
              <w:t>Interim CAO</w:t>
            </w: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4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ind w:left="3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59" w:lineRule="exact"/>
        <w:rPr>
          <w:sz w:val="24"/>
          <w:szCs w:val="24"/>
          <w:color w:val="auto"/>
        </w:rPr>
      </w:pPr>
    </w:p>
    <w:p>
      <w:pPr>
        <w:sectPr>
          <w:pgSz w:w="11900" w:h="16838" w:orient="portrait"/>
          <w:cols w:equalWidth="0" w:num="3">
            <w:col w:w="2900" w:space="460"/>
            <w:col w:w="1300" w:space="340"/>
            <w:col w:w="6020"/>
          </w:cols>
          <w:pgMar w:left="440" w:top="202" w:right="439" w:bottom="1440" w:gutter="0" w:footer="0" w:header="0"/>
          <w:type w:val="continuous"/>
        </w:sectPr>
      </w:pPr>
    </w:p>
    <w:p>
      <w:pPr>
        <w:spacing w:after="0" w:line="64"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9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120" w:type="dxa"/>
            <w:vAlign w:val="bottom"/>
            <w:tcBorders>
              <w:bottom w:val="single" w:sz="8" w:color="2C2C2C"/>
            </w:tcBorders>
          </w:tcPr>
          <w:p>
            <w:pPr>
              <w:jc w:val="center"/>
              <w:ind w:right="902"/>
              <w:spacing w:after="0"/>
              <w:rPr>
                <w:sz w:val="20"/>
                <w:szCs w:val="20"/>
                <w:color w:val="auto"/>
              </w:rPr>
            </w:pPr>
            <w:r>
              <w:rPr>
                <w:rFonts w:ascii="Times New Roman" w:cs="Times New Roman" w:eastAsia="Times New Roman" w:hAnsi="Times New Roman"/>
                <w:sz w:val="13"/>
                <w:szCs w:val="13"/>
                <w:color w:val="0000FF"/>
              </w:rPr>
              <w:t>35,406</w:t>
            </w:r>
            <w:r>
              <w:rPr>
                <w:rFonts w:ascii="Times New Roman" w:cs="Times New Roman" w:eastAsia="Times New Roman" w:hAnsi="Times New Roman"/>
                <w:sz w:val="17"/>
                <w:szCs w:val="17"/>
                <w:color w:val="008000"/>
                <w:vertAlign w:val="superscript"/>
              </w:rPr>
              <w:t>(1)</w:t>
            </w:r>
          </w:p>
        </w:tc>
        <w:tc>
          <w:tcPr>
            <w:tcW w:w="64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6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9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jc w:val="center"/>
              <w:ind w:right="942"/>
              <w:spacing w:after="0"/>
              <w:rPr>
                <w:sz w:val="20"/>
                <w:szCs w:val="20"/>
                <w:color w:val="auto"/>
              </w:rPr>
            </w:pPr>
            <w:r>
              <w:rPr>
                <w:rFonts w:ascii="Times New Roman" w:cs="Times New Roman" w:eastAsia="Times New Roman" w:hAnsi="Times New Roman"/>
                <w:sz w:val="13"/>
                <w:szCs w:val="13"/>
                <w:color w:val="0000FF"/>
              </w:rPr>
              <w:t>3,147</w:t>
            </w:r>
            <w:r>
              <w:rPr>
                <w:rFonts w:ascii="Times New Roman" w:cs="Times New Roman" w:eastAsia="Times New Roman" w:hAnsi="Times New Roman"/>
                <w:sz w:val="17"/>
                <w:szCs w:val="17"/>
                <w:color w:val="008000"/>
                <w:vertAlign w:val="superscript"/>
              </w:rPr>
              <w:t>(2)</w:t>
            </w:r>
          </w:p>
        </w:tc>
        <w:tc>
          <w:tcPr>
            <w:tcW w:w="64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13"/>
                <w:szCs w:val="13"/>
                <w:color w:val="0000FF"/>
              </w:rPr>
              <w:t>I</w:t>
            </w:r>
          </w:p>
        </w:tc>
        <w:tc>
          <w:tcPr>
            <w:tcW w:w="160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3"/>
                <w:szCs w:val="13"/>
                <w:color w:val="0000FF"/>
              </w:rPr>
              <w:t>By IRA</w:t>
            </w:r>
            <w:r>
              <w:rPr>
                <w:rFonts w:ascii="Times New Roman" w:cs="Times New Roman" w:eastAsia="Times New Roman" w:hAnsi="Times New Roman"/>
                <w:sz w:val="17"/>
                <w:szCs w:val="17"/>
                <w:color w:val="008000"/>
                <w:vertAlign w:val="superscript"/>
              </w:rPr>
              <w:t>(3)</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2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8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6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40" w:right="8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Includes (i) 25,406 shares of Class A Common Stock that such Reporting Person was entitled to receive as a former member of Cobbs Allen Capital Holdings, LLC ("CAC") pursuant to the terms of that certain Transaction Agreement, dated December 2, 2025 by and among The Baldwin Insurance Group, Inc. (the "Company"), CAC and the other parties named therein, the issuance of which was approved by the Board of Directors of the Company pursuant to Rule 16b-3(d)(1) and (ii) 10,000 restricted shares of Class A Common Stock that vest in four equal installments on each of April 1, 2027, April 1, 2028, April 1, 2029, and April 1, 2030, in each case, subject to such Reporting Person's continued employment through each vesting date.</w:t>
      </w:r>
    </w:p>
    <w:p>
      <w:pPr>
        <w:spacing w:after="0" w:line="12"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of Class A Common Stock represent shares such Reporting Person was entitled to receive as a former member of CAC pursuant to the terms of that certain Transaction Agreement, dated December 2, 2025 by and among the Company, CAC and the other parties named therein, the issuance of which was approved by the Board of Directors of the Company pursuant to Rule 16b-3(d)(1).</w:t>
      </w:r>
    </w:p>
    <w:p>
      <w:pPr>
        <w:sectPr>
          <w:pgSz w:w="11900" w:h="16838" w:orient="portrait"/>
          <w:cols w:equalWidth="0" w:num="1">
            <w:col w:w="11020"/>
          </w:cols>
          <w:pgMar w:left="440" w:top="202" w:right="439" w:bottom="1440" w:gutter="0" w:footer="0" w:header="0"/>
          <w:type w:val="continuous"/>
        </w:sectPr>
      </w:pPr>
    </w:p>
    <w:p>
      <w:pPr>
        <w:spacing w:after="0" w:line="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3. These shares of Class A Common Stock are held by such Reporting Person's individual retirement account, for which the Reporting Person remains the beneficial owner.</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Seth Cohen, as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512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51280" cy="6350"/>
                    </a:xfrm>
                    <a:prstGeom prst="rect">
                      <a:avLst/>
                    </a:prstGeom>
                    <a:noFill/>
                  </pic:spPr>
                </pic:pic>
              </a:graphicData>
            </a:graphic>
          </wp:anchor>
        </w:drawing>
      </w:r>
    </w:p>
    <w:p>
      <w:pPr>
        <w:spacing w:after="0" w:line="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Willis Johnathan Daniel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82296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22960" cy="6350"/>
                    </a:xfrm>
                    <a:prstGeom prst="rect">
                      <a:avLst/>
                    </a:prstGeom>
                    <a:noFill/>
                  </pic:spPr>
                </pic:pic>
              </a:graphicData>
            </a:graphic>
          </wp:anchor>
        </w:drawing>
      </w:r>
    </w:p>
    <w:p>
      <w:pPr>
        <w:spacing w:after="0" w:line="29"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4"/>
          <w:szCs w:val="24"/>
          <w:color w:val="auto"/>
        </w:rPr>
      </w:pPr>
    </w:p>
    <w:p>
      <w:pPr>
        <w:sectPr>
          <w:pgSz w:w="11900" w:h="16838" w:orient="portrait"/>
          <w:cols w:equalWidth="0" w:num="2">
            <w:col w:w="8740" w:space="8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cgi-bin/browse-edgar?action=getcompany&amp;CIK=0002140233" TargetMode="External"/><Relationship Id="rId12" Type="http://schemas.openxmlformats.org/officeDocument/2006/relationships/hyperlink" Target="http://www.sec.gov/cgi-bin/browse-edgar?action=getcompany&amp;CIK=00017817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2026-06-17T15:27:39Z</dcterms:created>
  <dcterms:modified xsi:type="dcterms:W3CDTF">2026-06-17T15:27:39Z</dcterms:modified>
</cp:coreProperties>
</file>