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5"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______________________________</w:t>
      </w:r>
    </w:p>
    <w:p>
      <w:pPr>
        <w:spacing w:after="0" w:line="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9"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______________________________</w:t>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June 4, 2026</w:t>
      </w:r>
    </w:p>
    <w:p>
      <w:pPr>
        <w:spacing w:after="0" w:line="12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______________________________</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The Baldwin Insurance Group, Inc.</w:t>
      </w:r>
    </w:p>
    <w:p>
      <w:pPr>
        <w:spacing w:after="0" w:line="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5"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______________________________</w:t>
      </w:r>
    </w:p>
    <w:p>
      <w:pPr>
        <w:spacing w:after="0" w:line="133" w:lineRule="exact"/>
        <w:rPr>
          <w:sz w:val="24"/>
          <w:szCs w:val="24"/>
          <w:color w:val="auto"/>
        </w:rPr>
      </w:pPr>
    </w:p>
    <w:tbl>
      <w:tblPr>
        <w:tblLayout w:type="fixed"/>
        <w:tblInd w:w="1420" w:type="dxa"/>
        <w:tblCellMar>
          <w:top w:w="0" w:type="dxa"/>
          <w:left w:w="0" w:type="dxa"/>
          <w:bottom w:w="0" w:type="dxa"/>
          <w:right w:w="0" w:type="dxa"/>
        </w:tblCellMar>
      </w:tblPr>
      <w:tr>
        <w:trPr>
          <w:trHeight w:val="207"/>
        </w:trPr>
        <w:tc>
          <w:tcPr>
            <w:tcW w:w="2820" w:type="dxa"/>
            <w:vAlign w:val="bottom"/>
          </w:tcPr>
          <w:p>
            <w:pPr>
              <w:jc w:val="center"/>
              <w:ind w:right="865"/>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920" w:type="dxa"/>
            <w:vAlign w:val="bottom"/>
          </w:tcPr>
          <w:p>
            <w:pPr>
              <w:jc w:val="center"/>
              <w:ind w:right="105"/>
              <w:spacing w:after="0"/>
              <w:rPr>
                <w:sz w:val="20"/>
                <w:szCs w:val="20"/>
                <w:color w:val="auto"/>
              </w:rPr>
            </w:pPr>
            <w:r>
              <w:rPr>
                <w:rFonts w:ascii="Times New Roman" w:cs="Times New Roman" w:eastAsia="Times New Roman" w:hAnsi="Times New Roman"/>
                <w:sz w:val="16"/>
                <w:szCs w:val="16"/>
                <w:b w:val="1"/>
                <w:bCs w:val="1"/>
                <w:color w:val="auto"/>
              </w:rPr>
              <w:t>001-39095</w:t>
            </w:r>
          </w:p>
        </w:tc>
        <w:tc>
          <w:tcPr>
            <w:tcW w:w="2260" w:type="dxa"/>
            <w:vAlign w:val="bottom"/>
          </w:tcPr>
          <w:p>
            <w:pPr>
              <w:jc w:val="center"/>
              <w:ind w:left="1085"/>
              <w:spacing w:after="0"/>
              <w:rPr>
                <w:sz w:val="20"/>
                <w:szCs w:val="20"/>
                <w:color w:val="auto"/>
              </w:rPr>
            </w:pPr>
            <w:r>
              <w:rPr>
                <w:rFonts w:ascii="Times New Roman" w:cs="Times New Roman" w:eastAsia="Times New Roman" w:hAnsi="Times New Roman"/>
                <w:sz w:val="16"/>
                <w:szCs w:val="16"/>
                <w:b w:val="1"/>
                <w:bCs w:val="1"/>
                <w:color w:val="auto"/>
              </w:rPr>
              <w:t>61-1937225</w:t>
            </w:r>
          </w:p>
        </w:tc>
      </w:tr>
      <w:tr>
        <w:trPr>
          <w:trHeight w:val="190"/>
        </w:trPr>
        <w:tc>
          <w:tcPr>
            <w:tcW w:w="2820" w:type="dxa"/>
            <w:vAlign w:val="bottom"/>
          </w:tcPr>
          <w:p>
            <w:pPr>
              <w:jc w:val="center"/>
              <w:ind w:right="865"/>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2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260" w:type="dxa"/>
            <w:vAlign w:val="bottom"/>
          </w:tcPr>
          <w:p>
            <w:pPr>
              <w:jc w:val="center"/>
              <w:ind w:left="1065"/>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03"/>
        </w:trPr>
        <w:tc>
          <w:tcPr>
            <w:tcW w:w="2820" w:type="dxa"/>
            <w:vAlign w:val="bottom"/>
          </w:tcPr>
          <w:p>
            <w:pPr>
              <w:jc w:val="center"/>
              <w:ind w:right="86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2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2260" w:type="dxa"/>
            <w:vAlign w:val="bottom"/>
          </w:tcPr>
          <w:p>
            <w:pPr>
              <w:jc w:val="center"/>
              <w:ind w:left="1065"/>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4211 W. Boy Scout Blvd., Suite 800, Tampa, Florida 33607</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(866) 279-0698</w:t>
      </w:r>
    </w:p>
    <w:p>
      <w:pPr>
        <w:spacing w:after="0" w:line="1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56" w:lineRule="exact"/>
        <w:rPr>
          <w:sz w:val="24"/>
          <w:szCs w:val="24"/>
          <w:color w:val="auto"/>
        </w:rPr>
      </w:pPr>
    </w:p>
    <w:p>
      <w:pPr>
        <w:ind w:left="40" w:right="1060"/>
        <w:spacing w:after="0" w:line="242"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48" w:lineRule="exact"/>
        <w:rPr>
          <w:sz w:val="24"/>
          <w:szCs w:val="24"/>
          <w:color w:val="auto"/>
        </w:rPr>
      </w:pPr>
    </w:p>
    <w:p>
      <w:pPr>
        <w:ind w:left="1020" w:hanging="981"/>
        <w:spacing w:after="0"/>
        <w:tabs>
          <w:tab w:leader="none" w:pos="10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46" w:lineRule="exact"/>
        <w:rPr>
          <w:rFonts w:ascii="MS PGothic" w:cs="MS PGothic" w:eastAsia="MS PGothic" w:hAnsi="MS PGothic"/>
          <w:sz w:val="22"/>
          <w:szCs w:val="22"/>
          <w:color w:val="auto"/>
        </w:rPr>
      </w:pPr>
    </w:p>
    <w:p>
      <w:pPr>
        <w:ind w:left="1020" w:hanging="981"/>
        <w:spacing w:after="0"/>
        <w:tabs>
          <w:tab w:leader="none" w:pos="10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46" w:lineRule="exact"/>
        <w:rPr>
          <w:rFonts w:ascii="MS PGothic" w:cs="MS PGothic" w:eastAsia="MS PGothic" w:hAnsi="MS PGothic"/>
          <w:sz w:val="22"/>
          <w:szCs w:val="22"/>
          <w:color w:val="auto"/>
        </w:rPr>
      </w:pPr>
    </w:p>
    <w:p>
      <w:pPr>
        <w:ind w:left="1020" w:hanging="981"/>
        <w:spacing w:after="0"/>
        <w:tabs>
          <w:tab w:leader="none" w:pos="10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Pre-commencement communications pursuant to Rule 14d-2 (b) under the Exchange Act (17 CFR 240.14d-2(b))</w:t>
      </w:r>
    </w:p>
    <w:p>
      <w:pPr>
        <w:spacing w:after="0" w:line="46" w:lineRule="exact"/>
        <w:rPr>
          <w:rFonts w:ascii="MS PGothic" w:cs="MS PGothic" w:eastAsia="MS PGothic" w:hAnsi="MS PGothic"/>
          <w:sz w:val="22"/>
          <w:szCs w:val="22"/>
          <w:color w:val="auto"/>
        </w:rPr>
      </w:pPr>
    </w:p>
    <w:p>
      <w:pPr>
        <w:ind w:left="1020" w:hanging="981"/>
        <w:spacing w:after="0"/>
        <w:tabs>
          <w:tab w:leader="none" w:pos="10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29" w:lineRule="exact"/>
        <w:rPr>
          <w:sz w:val="24"/>
          <w:szCs w:val="24"/>
          <w:color w:val="auto"/>
        </w:rPr>
      </w:pPr>
    </w:p>
    <w:tbl>
      <w:tblPr>
        <w:tblLayout w:type="fixed"/>
        <w:tblInd w:w="40" w:type="dxa"/>
        <w:tblCellMar>
          <w:top w:w="0" w:type="dxa"/>
          <w:left w:w="0" w:type="dxa"/>
          <w:bottom w:w="0" w:type="dxa"/>
          <w:right w:w="0" w:type="dxa"/>
        </w:tblCellMar>
      </w:tblPr>
      <w:tr>
        <w:trPr>
          <w:trHeight w:val="190"/>
        </w:trPr>
        <w:tc>
          <w:tcPr>
            <w:tcW w:w="46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3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06"/>
        </w:trPr>
        <w:tc>
          <w:tcPr>
            <w:tcW w:w="4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Class A Common Stock, par value $0.01 per share</w:t>
            </w:r>
          </w:p>
        </w:tc>
        <w:tc>
          <w:tcPr>
            <w:tcW w:w="3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BWIN</w:t>
            </w:r>
          </w:p>
        </w:tc>
        <w:tc>
          <w:tcPr>
            <w:tcW w:w="280" w:type="dxa"/>
            <w:vAlign w:val="bottom"/>
          </w:tcPr>
          <w:p>
            <w:pPr>
              <w:spacing w:after="0"/>
              <w:rPr>
                <w:sz w:val="17"/>
                <w:szCs w:val="17"/>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r>
    </w:tbl>
    <w:p>
      <w:pPr>
        <w:spacing w:after="0" w:line="246" w:lineRule="exact"/>
        <w:rPr>
          <w:sz w:val="24"/>
          <w:szCs w:val="24"/>
          <w:color w:val="auto"/>
        </w:rPr>
      </w:pPr>
    </w:p>
    <w:p>
      <w:pPr>
        <w:ind w:right="4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9" w:lineRule="exact"/>
        <w:rPr>
          <w:sz w:val="24"/>
          <w:szCs w:val="24"/>
          <w:color w:val="auto"/>
        </w:rPr>
      </w:pPr>
    </w:p>
    <w:p>
      <w:pPr>
        <w:ind w:left="8040"/>
        <w:spacing w:after="0" w:line="184" w:lineRule="exact"/>
        <w:tabs>
          <w:tab w:leader="none" w:pos="1086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370" w:lineRule="exact"/>
        <w:rPr>
          <w:sz w:val="24"/>
          <w:szCs w:val="24"/>
          <w:color w:val="auto"/>
        </w:rPr>
      </w:pPr>
    </w:p>
    <w:p>
      <w:pPr>
        <w:ind w:right="560"/>
        <w:spacing w:after="0" w:line="22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111125</wp:posOffset>
            </wp:positionV>
            <wp:extent cx="71151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20"/>
          </w:cols>
          <w:pgMar w:left="320" w:top="1438" w:right="35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05"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On June 4, 2026, the Board of Directors of The Baldwin Insurance Group, Inc. (the “Company”) appointed Johnathan Daniel to serve as interim Chief Accounting Officer of the Company effective upon the commencement of Corbyn Lichon’s, the Company’s Chief Accounting Officer, maternity leave, which is expected to begin in mid-to-late June 2026.</w:t>
      </w:r>
    </w:p>
    <w:p>
      <w:pPr>
        <w:spacing w:after="0" w:line="12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Mr. Daniel, age 41, has served as Executive Director of Finance of the Company since January 1, 2026. Prior to joining the Company, Mr. Daniel served as Chief Financial Officer of CAC Group, which was acquired by the Company in January 2026, where he led financial strategy, capital planning, accounting, and operational finance, from July 2025 to December 2025. Prior to his appointment as Chief Financial Officer, Mr. Daniel was the Controller of CAC Group from April 2022 to July 2025 where he led the accounting function. Prior to joining CAC Group, Mr. Daniel served as Senior Director, SEC Reporting and Internal Controls at Science 37 from November 2021 through April 2022 where he led SEC reporting and internal control efforts associated with Science 37’s public listing. Prior to that, Mr. Daniel served as Vice President, Finance and Corporate Controller at ProAssurance Corporation, a publicly traded specialty insurance holding company, where he was responsible for accounting, finance, and internal control functions, from February 2017 to November 2021. Mr. Daniel began his career in public accounting, serving as a Manager at RSM US LLP from December 2012 to February 2017 and as a Senior Assurance Associate at PricewaterhouseCoopers LLP from September 2009 to November 2012. Mr. Daniel received a Bachelor of Science in Commerce and Business Administration, with a major in Accounting, </w:t>
      </w:r>
      <w:r>
        <w:rPr>
          <w:rFonts w:ascii="Times New Roman" w:cs="Times New Roman" w:eastAsia="Times New Roman" w:hAnsi="Times New Roman"/>
          <w:sz w:val="18"/>
          <w:szCs w:val="18"/>
          <w:i w:val="1"/>
          <w:iCs w:val="1"/>
          <w:color w:val="auto"/>
        </w:rPr>
        <w:t>summa cum laude</w:t>
      </w:r>
      <w:r>
        <w:rPr>
          <w:rFonts w:ascii="Times New Roman" w:cs="Times New Roman" w:eastAsia="Times New Roman" w:hAnsi="Times New Roman"/>
          <w:sz w:val="18"/>
          <w:szCs w:val="18"/>
          <w:color w:val="auto"/>
        </w:rPr>
        <w:t>, from the University of Alabama. Mr. Daniel is a Certified Public Accountant and is Accredited in Business Valuation by the American Institute of Certified Public Accountants.</w:t>
      </w:r>
    </w:p>
    <w:p>
      <w:pPr>
        <w:spacing w:after="0" w:line="13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There are no arrangements or understandings between Mr. Daniel and any other person pursuant to which Mr. Daniel was appointed to serve as interim Chief Accounting Officer of the Company. There are no family relationships between Mr. Daniel and any of the Company’s directors or executive officers. Mr. Daniel has no direct or indirect material interest in any existing or currently proposed transaction that would require disclosure under Item 404(a) of Regulation S-K.</w:t>
      </w:r>
    </w:p>
    <w:p>
      <w:pPr>
        <w:spacing w:after="0" w:line="126"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Mr. Daniel is party to an Employment Agreement with a wholly-owned subsidiary of the Company (the “Employment Agreement”), which took effect on January 1, 2026. Mr. Daniel is entitled to an annual base salary of $300,000 and is eligible to receive a targeted annual bonus of up to 100% of his base salary based on his individual performance and the overall performance of the Company; provided that the bonus for calendar year 2026 shall not be less than $300,000, to be paid in fully vested Class A shares, par value $0.01 per share, of the Company. The Employment Agreement was entered into for an indefinite period and may be terminated at any time by the Company, or by Mr. Daniel upon at least 120 days’ prior written notice; however, no notice period applies in case of termination for Cause (as defined in the Employment Agreement). The Employment Agreement further provides for standard benefits, such as participation in employee benefit plans, expense reimbursement, and an open paid time off policy. The Employment Agreement also contains certain standard confidentiality requirements.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75"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On June 4, 2026, the Company held its 2026 Annual Meeting of Shareholders (the “Annual Meeting”), at which a quorum was present. At the Annual Meeting, the shareholders of the Company voted on the following three proposals, each of which was described in greater detail in the Company’s definitive proxy statement on Schedule 14A filed with the U.S. Securities and Exchange Commission on April 22, 2026 (the “Proxy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1—Election of Directors</w:t>
      </w:r>
    </w:p>
    <w:p>
      <w:pPr>
        <w:spacing w:after="0" w:line="175"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8"/>
          <w:szCs w:val="18"/>
          <w:color w:val="auto"/>
        </w:rPr>
        <w:t>The following nominees were elected to the Company’s Board of Directors as Class I Directors, each to serve until the annual shareholders’ meeting to be held in 2029 or until his or her successor is elected and qualified. The voting results for each nominee were as follows:</w:t>
      </w:r>
    </w:p>
    <w:tbl>
      <w:tblPr>
        <w:tblLayout w:type="fixed"/>
        <w:tblInd w:w="0" w:type="dxa"/>
        <w:tblCellMar>
          <w:top w:w="0" w:type="dxa"/>
          <w:left w:w="0" w:type="dxa"/>
          <w:bottom w:w="0" w:type="dxa"/>
          <w:right w:w="0" w:type="dxa"/>
        </w:tblCellMar>
      </w:tblPr>
      <w:tr>
        <w:trPr>
          <w:trHeight w:val="190"/>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w:t>
            </w:r>
          </w:p>
        </w:tc>
        <w:tc>
          <w:tcPr>
            <w:tcW w:w="232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3"/>
        </w:trPr>
        <w:tc>
          <w:tcPr>
            <w:tcW w:w="4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23"/>
        </w:trPr>
        <w:tc>
          <w:tcPr>
            <w:tcW w:w="4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Lowry Baldwin</w:t>
            </w:r>
          </w:p>
        </w:tc>
        <w:tc>
          <w:tcPr>
            <w:tcW w:w="8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94,869,684</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4,282,765</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10,510,460</w:t>
            </w:r>
          </w:p>
        </w:tc>
      </w:tr>
      <w:tr>
        <w:trPr>
          <w:trHeight w:val="230"/>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Sathish Muthukrishnan</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98,197,244</w:t>
            </w:r>
          </w:p>
        </w:tc>
        <w:tc>
          <w:tcPr>
            <w:tcW w:w="100" w:type="dxa"/>
            <w:vAlign w:val="bottom"/>
          </w:tcPr>
          <w:p>
            <w:pPr>
              <w:spacing w:after="0"/>
              <w:rPr>
                <w:sz w:val="19"/>
                <w:szCs w:val="19"/>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955,205</w:t>
            </w:r>
          </w:p>
        </w:tc>
        <w:tc>
          <w:tcPr>
            <w:tcW w:w="100" w:type="dxa"/>
            <w:vAlign w:val="bottom"/>
          </w:tcPr>
          <w:p>
            <w:pPr>
              <w:spacing w:after="0"/>
              <w:rPr>
                <w:sz w:val="19"/>
                <w:szCs w:val="19"/>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10,510,460</w:t>
            </w:r>
          </w:p>
        </w:tc>
      </w:tr>
      <w:tr>
        <w:trPr>
          <w:trHeight w:val="230"/>
        </w:trPr>
        <w:tc>
          <w:tcPr>
            <w:tcW w:w="43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Sunita Parasuraman</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98,076,188</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1,076,261</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10,510,460</w:t>
            </w:r>
          </w:p>
        </w:tc>
      </w:tr>
      <w:tr>
        <w:trPr>
          <w:trHeight w:val="234"/>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Ellyn Shook</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81,501,294</w:t>
            </w:r>
          </w:p>
        </w:tc>
        <w:tc>
          <w:tcPr>
            <w:tcW w:w="10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17,651,155</w:t>
            </w:r>
          </w:p>
        </w:tc>
        <w:tc>
          <w:tcPr>
            <w:tcW w:w="10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10,510,460</w:t>
            </w:r>
          </w:p>
        </w:tc>
      </w:tr>
      <w:tr>
        <w:trPr>
          <w:trHeight w:val="974"/>
        </w:trPr>
        <w:tc>
          <w:tcPr>
            <w:tcW w:w="4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Proposal 2—Advisory vote on the compensation of the Company’s named executive officers (“Say-on-Pay” vote)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shareholders voted to approve, on a non-binding advisory basis, the compensation of the Company’s named executive officers as described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Proxy Statement. The voting results on this proposal were as follows:</w:t>
      </w:r>
    </w:p>
    <w:p>
      <w:pPr>
        <w:spacing w:after="0" w:line="187" w:lineRule="exact"/>
        <w:rPr>
          <w:sz w:val="20"/>
          <w:szCs w:val="20"/>
          <w:color w:val="auto"/>
        </w:rPr>
      </w:pPr>
    </w:p>
    <w:tbl>
      <w:tblPr>
        <w:tblLayout w:type="fixed"/>
        <w:tblInd w:w="1060" w:type="dxa"/>
        <w:tblCellMar>
          <w:top w:w="0" w:type="dxa"/>
          <w:left w:w="0" w:type="dxa"/>
          <w:bottom w:w="0" w:type="dxa"/>
          <w:right w:w="0" w:type="dxa"/>
        </w:tblCellMar>
      </w:tblPr>
      <w:tr>
        <w:trPr>
          <w:trHeight w:val="190"/>
        </w:trPr>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3"/>
        </w:trPr>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23"/>
        </w:trPr>
        <w:tc>
          <w:tcPr>
            <w:tcW w:w="22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94,240,293</w:t>
            </w: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4,125,200</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786,956</w:t>
            </w: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10,510,460</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3—Ratification of Appointment of Independent Registered Public Accounting Firm</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proposal to ratify the appointment of PricewaterhouseCoopers LLP as the Company’s independent registered public accounting firm for the fiscal year ending December 31, 2026 was approved. The voting results on this proposal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w:t>
            </w:r>
          </w:p>
        </w:tc>
        <w:tc>
          <w:tcPr>
            <w:tcW w:w="230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4420" w:type="dxa"/>
            <w:vAlign w:val="bottom"/>
            <w:gridSpan w:val="2"/>
          </w:tcPr>
          <w:p>
            <w:pPr>
              <w:ind w:left="880"/>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23"/>
        </w:trPr>
        <w:tc>
          <w:tcPr>
            <w:tcW w:w="4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23"/>
        </w:trPr>
        <w:tc>
          <w:tcPr>
            <w:tcW w:w="2200" w:type="dxa"/>
            <w:vAlign w:val="bottom"/>
          </w:tcPr>
          <w:p>
            <w:pPr>
              <w:spacing w:after="0"/>
              <w:rPr>
                <w:sz w:val="19"/>
                <w:szCs w:val="19"/>
                <w:color w:val="auto"/>
              </w:rPr>
            </w:pPr>
          </w:p>
        </w:tc>
        <w:tc>
          <w:tcPr>
            <w:tcW w:w="2220" w:type="dxa"/>
            <w:vAlign w:val="bottom"/>
            <w:tcBorders>
              <w:top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109,549,914</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62,128</w:t>
            </w:r>
          </w:p>
        </w:tc>
        <w:tc>
          <w:tcPr>
            <w:tcW w:w="8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50,867</w:t>
            </w:r>
          </w:p>
        </w:tc>
        <w:tc>
          <w:tcPr>
            <w:tcW w:w="2200" w:type="dxa"/>
            <w:vAlign w:val="bottom"/>
          </w:tcPr>
          <w:p>
            <w:pPr>
              <w:spacing w:after="0"/>
              <w:rPr>
                <w:sz w:val="19"/>
                <w:szCs w:val="19"/>
                <w:color w:val="auto"/>
              </w:rPr>
            </w:pPr>
          </w:p>
        </w:tc>
      </w:tr>
      <w:tr>
        <w:trPr>
          <w:trHeight w:val="966"/>
        </w:trPr>
        <w:tc>
          <w:tcPr>
            <w:tcW w:w="22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The Baldwin Insurance Group, Inc.</w:t>
            </w:r>
          </w:p>
        </w:tc>
      </w:tr>
      <w:tr>
        <w:trPr>
          <w:trHeight w:val="715"/>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 June 4, 2026</w:t>
            </w:r>
          </w:p>
        </w:tc>
        <w:tc>
          <w:tcPr>
            <w:tcW w:w="7380" w:type="dxa"/>
            <w:vAlign w:val="bottom"/>
            <w:gridSpan w:val="3"/>
          </w:tcPr>
          <w:p>
            <w:pPr>
              <w:ind w:left="2460"/>
              <w:spacing w:after="0"/>
              <w:rPr>
                <w:sz w:val="20"/>
                <w:szCs w:val="20"/>
                <w:color w:val="auto"/>
              </w:rPr>
            </w:pPr>
            <w:r>
              <w:rPr>
                <w:rFonts w:ascii="Times New Roman" w:cs="Times New Roman" w:eastAsia="Times New Roman" w:hAnsi="Times New Roman"/>
                <w:sz w:val="18"/>
                <w:szCs w:val="18"/>
                <w:color w:val="auto"/>
              </w:rPr>
              <w:t>By:  /s/ Bradford L. Hale</w:t>
            </w:r>
          </w:p>
        </w:tc>
      </w:tr>
      <w:tr>
        <w:trPr>
          <w:trHeight w:val="218"/>
        </w:trPr>
        <w:tc>
          <w:tcPr>
            <w:tcW w:w="38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Bradford L. Hale</w:t>
            </w:r>
          </w:p>
        </w:tc>
      </w:tr>
      <w:tr>
        <w:trPr>
          <w:trHeight w:val="234"/>
        </w:trPr>
        <w:tc>
          <w:tcPr>
            <w:tcW w:w="38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104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2026-06-04T15:40:35Z</dcterms:created>
  <dcterms:modified xsi:type="dcterms:W3CDTF">2026-06-04T15:40:35Z</dcterms:modified>
</cp:coreProperties>
</file>