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8272388.xml.htm"/>
      <w:bookmarkStart w:id="1" w:name="kswkform4_177827238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Krystyn Elizabeth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THE BALDWIN INSURANCE GROUP,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4211 W. BOY SCOUT BLVD., SUITE 800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TAMPA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33607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Baldwin Insurance Group, Inc.</w:t>
              </w:r>
            </w:hyperlink>
            <w:r>
              <w:rPr/>
              <w:t xml:space="preserve"> [ </w:t>
            </w:r>
            <w:r>
              <w:rPr>
                <w:rFonts w:ascii="Times;serif" w:hAnsi="Times;serif"/>
                <w:color w:val="0000FF"/>
                <w:sz w:val="24"/>
                <w:shd w:fill="FFFFFF" w:val="clear"/>
              </w:rPr>
              <w:t>BWIN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Member of 10% Owner Group</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05/06/2026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17"/>
        <w:gridCol w:w="900"/>
        <w:gridCol w:w="771"/>
        <w:gridCol w:w="598"/>
        <w:gridCol w:w="342"/>
        <w:gridCol w:w="1003"/>
        <w:gridCol w:w="438"/>
        <w:gridCol w:w="789"/>
        <w:gridCol w:w="1257"/>
        <w:gridCol w:w="977"/>
        <w:gridCol w:w="91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3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8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152,000</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1,198,100</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(1)</w:t>
            </w:r>
            <w:r>
              <w:rPr/>
              <w:t xml:space="preserve"> </w:t>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152,000</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152,000</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(1)</w:t>
            </w:r>
            <w:r>
              <w:rPr/>
              <w:t xml:space="preserve"> </w:t>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53,722</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21.19</w:t>
            </w:r>
            <w:r>
              <w:rPr>
                <w:rFonts w:ascii="Times;serif" w:hAnsi="Times;serif"/>
                <w:color w:val="008000"/>
                <w:position w:val="7"/>
                <w:sz w:val="16"/>
                <w:sz w:val="20"/>
                <w:shd w:fill="FFFFFF" w:val="clear"/>
              </w:rPr>
              <w:t>(2)</w:t>
            </w:r>
            <w:r>
              <w:rPr/>
              <w:t xml:space="preserve"> </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98,278</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(1)</w:t>
            </w:r>
            <w:r>
              <w:rPr/>
              <w:t xml:space="preserve"> </w:t>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98,278</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21.2</w:t>
            </w:r>
            <w:r>
              <w:rPr>
                <w:rFonts w:ascii="Times;serif" w:hAnsi="Times;serif"/>
                <w:color w:val="008000"/>
                <w:position w:val="7"/>
                <w:sz w:val="16"/>
                <w:sz w:val="20"/>
                <w:shd w:fill="FFFFFF" w:val="clear"/>
              </w:rPr>
              <w:t>(3)</w:t>
            </w:r>
            <w:r>
              <w:rPr/>
              <w:t xml:space="preserve"> </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(1)</w:t>
            </w:r>
            <w:r>
              <w:rPr/>
              <w:t xml:space="preserve"> </w:t>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396,912</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(4)</w:t>
            </w:r>
            <w:r>
              <w:rPr/>
              <w:t xml:space="preserve"> </w:t>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(4)</w:t>
            </w:r>
            <w:r>
              <w:rPr/>
              <w:t xml:space="preserve"> </w:t>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18,260</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21.2</w:t>
            </w:r>
            <w:r>
              <w:rPr>
                <w:rFonts w:ascii="Times;serif" w:hAnsi="Times;serif"/>
                <w:color w:val="008000"/>
                <w:position w:val="7"/>
                <w:sz w:val="16"/>
                <w:sz w:val="20"/>
                <w:shd w:fill="FFFFFF" w:val="clear"/>
              </w:rPr>
              <w:t>(5)</w:t>
            </w:r>
            <w:r>
              <w:rPr/>
              <w:t xml:space="preserve"> </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31,740</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(4)</w:t>
            </w:r>
            <w:r>
              <w:rPr/>
              <w:t xml:space="preserve"> </w:t>
            </w:r>
          </w:p>
        </w:tc>
      </w:tr>
      <w:tr>
        <w:trPr/>
        <w:tc>
          <w:tcPr>
            <w:tcW w:w="22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31,740</w:t>
            </w:r>
          </w:p>
        </w:tc>
        <w:tc>
          <w:tcPr>
            <w:tcW w:w="4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21.18</w:t>
            </w:r>
            <w:r>
              <w:rPr>
                <w:rFonts w:ascii="Times;serif" w:hAnsi="Times;serif"/>
                <w:color w:val="008000"/>
                <w:position w:val="7"/>
                <w:sz w:val="16"/>
                <w:sz w:val="20"/>
                <w:shd w:fill="FFFFFF" w:val="clear"/>
              </w:rPr>
              <w:t>(6)</w:t>
            </w:r>
            <w:r>
              <w:rPr/>
              <w:t xml:space="preserve"> </w:t>
            </w:r>
          </w:p>
        </w:tc>
        <w:tc>
          <w:tcPr>
            <w:tcW w:w="12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(4)</w:t>
            </w:r>
            <w:r>
              <w:rPr/>
              <w:t xml:space="preserve"> </w:t>
            </w:r>
          </w:p>
        </w:tc>
      </w:tr>
    </w:tbl>
    <w:tbl>
      <w:tblPr>
        <w:tblW w:w="12419" w:type="dxa"/>
        <w:jc w:val="left"/>
        <w:tblInd w:w="-7" w:type="dxa"/>
        <w:tblLayout w:type="fixed"/>
        <w:tblCellMar>
          <w:top w:w="60" w:type="dxa"/>
          <w:left w:w="60" w:type="dxa"/>
          <w:bottom w:w="60" w:type="dxa"/>
          <w:right w:w="60" w:type="dxa"/>
        </w:tblCellMar>
      </w:tblPr>
      <w:tblGrid>
        <w:gridCol w:w="950"/>
        <w:gridCol w:w="861"/>
        <w:gridCol w:w="891"/>
        <w:gridCol w:w="771"/>
        <w:gridCol w:w="591"/>
        <w:gridCol w:w="300"/>
        <w:gridCol w:w="276"/>
        <w:gridCol w:w="816"/>
        <w:gridCol w:w="906"/>
        <w:gridCol w:w="801"/>
        <w:gridCol w:w="891"/>
        <w:gridCol w:w="921"/>
        <w:gridCol w:w="801"/>
        <w:gridCol w:w="966"/>
        <w:gridCol w:w="831"/>
        <w:gridCol w:w="846"/>
      </w:tblGrid>
      <w:tr>
        <w:trPr>
          <w:tblHeader w:val="true"/>
        </w:trPr>
        <w:tc>
          <w:tcPr>
            <w:tcW w:w="1241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5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5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5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LLC Units in The Baldwin Insurance Group Holdings, LLC</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152,000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(7)</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(7)</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152,000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1,198,100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Trust</w:t>
            </w:r>
            <w:r>
              <w:rPr>
                <w:rFonts w:ascii="Times;serif" w:hAnsi="Times;serif"/>
                <w:color w:val="008000"/>
                <w:position w:val="7"/>
                <w:sz w:val="16"/>
                <w:sz w:val="20"/>
                <w:shd w:fill="FFFFFF" w:val="clear"/>
              </w:rPr>
              <w:t>(1)</w:t>
            </w:r>
            <w:r>
              <w:rPr/>
              <w:t xml:space="preserve"> </w:t>
            </w:r>
          </w:p>
        </w:tc>
      </w:tr>
      <w:tr>
        <w:trPr/>
        <w:tc>
          <w:tcPr>
            <w:tcW w:w="95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LLC Units in The Baldwin Insurance Group Holdings, LLC</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(7)</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(7)</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396,912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Trust</w:t>
            </w:r>
            <w:r>
              <w:rPr>
                <w:rFonts w:ascii="Times;serif" w:hAnsi="Times;serif"/>
                <w:color w:val="008000"/>
                <w:position w:val="7"/>
                <w:sz w:val="16"/>
                <w:sz w:val="20"/>
                <w:shd w:fill="FFFFFF" w:val="clear"/>
              </w:rPr>
              <w:t>(4)</w:t>
            </w:r>
            <w:r>
              <w:rPr/>
              <w:t xml:space="preserve"> </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securities are directly held by the Elizabeth H. Krystyn 2017 Revocable Trust, dated June 28, 2017, of which the reporting person is the sole trustee and beneficiary.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is a weighted average price. The reported securities were sold in multiple transactions at prices ranging from $21.00 to $21.47. The reporting person undertakes to provide to the Issuer, any security holder of the Issuer, or the staff of the Securities and Exchange Commission, upon request, full information regarding the number of shares sold at each separate price within such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is a weighted average price. The reported securities were sold in multiple transactions at prices ranging from $21.00 to $21.50. The reporting person undertakes to provide to the Issuer, any security holder of the Issuer, or the staff of the Securities and Exchange Commission, upon request, full information regarding the number of shares sold at each separate price within such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securities are directly held by the Elizabeth H. Krystyn 2019 Irrevocable Trust, dated September 30, 2019, of which Enrique M. Fueyo, the reporting person's spouse, serves as the sole 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is a weighted average price. The reported securities were sold in multiple transactions at prices ranging from $21.01 to $21.44. The reporting person undertakes to provide to the Issuer, any security holder of the Issuer, or the staff of the Securities and Exchange Commission, upon request, full information regarding the number of shares sold at each separate price within such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is a weighted average price. The reported securities were sold in multiple transactions at prices ranging from $21.00 to $21.48. The reporting person undertakes to provide to the Issuer, any security holder of the Issuer, or the staff of the Securities and Exchange Commission, upon request, full information regarding the number of shares sold at each separate price within such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Each LLC Unit, together with a share of Class B common stock, may be exchanged by the holder for one share of Class A common stock at any time. The LLC Units do not expire.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Seth Cohen, as Attorney-in Fact, for Elizabeth Krystyn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05/08/2026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87715" TargetMode="External"/><Relationship Id="rId5" Type="http://schemas.openxmlformats.org/officeDocument/2006/relationships/hyperlink" Target="http://www.sec.gov/cgi-bin/browse-edgar?action=getcompany&amp;CIK=000178175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1079</Words>
  <Characters>5604</Characters>
  <CharactersWithSpaces>6550</CharactersWithSpaces>
  <Paragraphs>193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